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EC4" w:rsidRPr="00BD7BB4" w:rsidRDefault="00116EC4" w:rsidP="00116EC4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kern w:val="0"/>
          <w:sz w:val="48"/>
          <w:szCs w:val="48"/>
        </w:rPr>
      </w:pPr>
      <w:r w:rsidRPr="00BD7BB4">
        <w:rPr>
          <w:rFonts w:ascii="標楷體" w:eastAsia="標楷體" w:hAnsi="標楷體" w:cs="新細明體"/>
          <w:b/>
          <w:kern w:val="0"/>
          <w:sz w:val="48"/>
          <w:szCs w:val="48"/>
        </w:rPr>
        <w:t>關於「技專校院職</w:t>
      </w:r>
      <w:proofErr w:type="gramStart"/>
      <w:r w:rsidRPr="00BD7BB4">
        <w:rPr>
          <w:rFonts w:ascii="標楷體" w:eastAsia="標楷體" w:hAnsi="標楷體" w:cs="新細明體"/>
          <w:b/>
          <w:kern w:val="0"/>
          <w:sz w:val="48"/>
          <w:szCs w:val="48"/>
        </w:rPr>
        <w:t>場霸凌</w:t>
      </w:r>
      <w:proofErr w:type="gramEnd"/>
      <w:r w:rsidRPr="00BD7BB4">
        <w:rPr>
          <w:rFonts w:ascii="標楷體" w:eastAsia="標楷體" w:hAnsi="標楷體" w:cs="新細明體"/>
          <w:b/>
          <w:kern w:val="0"/>
          <w:sz w:val="48"/>
          <w:szCs w:val="48"/>
        </w:rPr>
        <w:t>防治規定調查表」，這可能是為了收集並了解技術專科學院或職場中有關職</w:t>
      </w:r>
      <w:proofErr w:type="gramStart"/>
      <w:r w:rsidRPr="00BD7BB4">
        <w:rPr>
          <w:rFonts w:ascii="標楷體" w:eastAsia="標楷體" w:hAnsi="標楷體" w:cs="新細明體"/>
          <w:b/>
          <w:kern w:val="0"/>
          <w:sz w:val="48"/>
          <w:szCs w:val="48"/>
        </w:rPr>
        <w:t>場霸凌</w:t>
      </w:r>
      <w:proofErr w:type="gramEnd"/>
      <w:r w:rsidRPr="00BD7BB4">
        <w:rPr>
          <w:rFonts w:ascii="標楷體" w:eastAsia="標楷體" w:hAnsi="標楷體" w:cs="新細明體"/>
          <w:b/>
          <w:kern w:val="0"/>
          <w:sz w:val="48"/>
          <w:szCs w:val="48"/>
        </w:rPr>
        <w:t>防治規範的情況，調查表通常會涵蓋以下幾個主要項目：</w:t>
      </w:r>
    </w:p>
    <w:p w:rsidR="00116EC4" w:rsidRPr="00BD7BB4" w:rsidRDefault="00116EC4" w:rsidP="00116EC4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學校/機構背景資訊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</w:t>
      </w:r>
    </w:p>
    <w:p w:rsidR="00116EC4" w:rsidRPr="00BD7BB4" w:rsidRDefault="00116EC4" w:rsidP="00116EC4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kern w:val="0"/>
          <w:sz w:val="40"/>
          <w:szCs w:val="40"/>
        </w:rPr>
        <w:t>學校名稱或機構名稱</w:t>
      </w:r>
    </w:p>
    <w:p w:rsidR="00116EC4" w:rsidRPr="00BD7BB4" w:rsidRDefault="00116EC4" w:rsidP="00116EC4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kern w:val="0"/>
          <w:sz w:val="40"/>
          <w:szCs w:val="40"/>
        </w:rPr>
        <w:t>所屬部門</w:t>
      </w:r>
    </w:p>
    <w:p w:rsidR="00116EC4" w:rsidRPr="00BD7BB4" w:rsidRDefault="00116EC4" w:rsidP="00116EC4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kern w:val="0"/>
          <w:sz w:val="40"/>
          <w:szCs w:val="40"/>
        </w:rPr>
        <w:t>調查對象（如教師、學生、行政人員等）</w:t>
      </w:r>
    </w:p>
    <w:p w:rsidR="00116EC4" w:rsidRPr="00BD7BB4" w:rsidRDefault="00116EC4" w:rsidP="00116EC4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職</w:t>
      </w:r>
      <w:proofErr w:type="gramStart"/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場霸凌</w:t>
      </w:r>
      <w:proofErr w:type="gramEnd"/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防治規定是否存在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</w:t>
      </w:r>
    </w:p>
    <w:p w:rsidR="00116EC4" w:rsidRPr="00BD7BB4" w:rsidRDefault="00116EC4" w:rsidP="00116EC4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kern w:val="0"/>
          <w:sz w:val="40"/>
          <w:szCs w:val="40"/>
        </w:rPr>
        <w:t>學校或機構是否有明文規定職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場霸凌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防治措施？</w:t>
      </w:r>
    </w:p>
    <w:p w:rsidR="00116EC4" w:rsidRPr="00BD7BB4" w:rsidRDefault="00116EC4" w:rsidP="00116EC4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kern w:val="0"/>
          <w:sz w:val="40"/>
          <w:szCs w:val="40"/>
        </w:rPr>
        <w:t>規定的內容是否明確，涵蓋了哪些方面（如工作場所歧視、性騷擾、言語霸凌等）？</w:t>
      </w:r>
    </w:p>
    <w:p w:rsidR="00116EC4" w:rsidRPr="00BD7BB4" w:rsidRDefault="00116EC4" w:rsidP="00116EC4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proofErr w:type="gramStart"/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霸凌防治</w:t>
      </w:r>
      <w:proofErr w:type="gramEnd"/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措施的實施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</w:t>
      </w:r>
    </w:p>
    <w:p w:rsidR="00116EC4" w:rsidRPr="00BD7BB4" w:rsidRDefault="00116EC4" w:rsidP="00116EC4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kern w:val="0"/>
          <w:sz w:val="40"/>
          <w:szCs w:val="40"/>
        </w:rPr>
        <w:t>學校/機構是否有專門的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反霸凌委員會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或單位？</w:t>
      </w:r>
    </w:p>
    <w:p w:rsidR="00116EC4" w:rsidRPr="00BD7BB4" w:rsidRDefault="00116EC4" w:rsidP="00116EC4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kern w:val="0"/>
          <w:sz w:val="40"/>
          <w:szCs w:val="40"/>
        </w:rPr>
        <w:t>是否有相關的培訓、宣導活動？</w:t>
      </w:r>
    </w:p>
    <w:p w:rsidR="00116EC4" w:rsidRPr="00BD7BB4" w:rsidRDefault="00116EC4" w:rsidP="00116EC4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kern w:val="0"/>
          <w:sz w:val="40"/>
          <w:szCs w:val="40"/>
        </w:rPr>
        <w:t>是否有明確的舉報管道或處理機制？</w:t>
      </w:r>
    </w:p>
    <w:p w:rsidR="00116EC4" w:rsidRPr="00BD7BB4" w:rsidRDefault="00116EC4" w:rsidP="00116EC4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調查與處理結果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</w:t>
      </w:r>
    </w:p>
    <w:p w:rsidR="00116EC4" w:rsidRPr="00BD7BB4" w:rsidRDefault="00116EC4" w:rsidP="00116EC4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kern w:val="0"/>
          <w:sz w:val="40"/>
          <w:szCs w:val="40"/>
        </w:rPr>
        <w:t>是否有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過職場霸凌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案件的處理紀錄？</w:t>
      </w:r>
    </w:p>
    <w:p w:rsidR="00116EC4" w:rsidRPr="00BD7BB4" w:rsidRDefault="00116EC4" w:rsidP="00116EC4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kern w:val="0"/>
          <w:sz w:val="40"/>
          <w:szCs w:val="40"/>
        </w:rPr>
        <w:t>案件處理是否符合規定，並且是否保護受害者？</w:t>
      </w:r>
    </w:p>
    <w:p w:rsidR="00116EC4" w:rsidRPr="00BD7BB4" w:rsidRDefault="00116EC4" w:rsidP="00116EC4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kern w:val="0"/>
          <w:sz w:val="40"/>
          <w:szCs w:val="40"/>
        </w:rPr>
        <w:t>是否有懲處規定，對於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霸凌者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的處罰措施是什麼？</w:t>
      </w:r>
    </w:p>
    <w:p w:rsidR="00116EC4" w:rsidRPr="00BD7BB4" w:rsidRDefault="00116EC4" w:rsidP="00116EC4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lastRenderedPageBreak/>
        <w:t>受害者保護與支援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</w:t>
      </w:r>
    </w:p>
    <w:p w:rsidR="00116EC4" w:rsidRPr="00BD7BB4" w:rsidRDefault="00116EC4" w:rsidP="00116EC4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kern w:val="0"/>
          <w:sz w:val="40"/>
          <w:szCs w:val="40"/>
        </w:rPr>
        <w:t>學校/機構是否提供受害者心理輔導、法律援助等支援服務？</w:t>
      </w:r>
    </w:p>
    <w:p w:rsidR="00116EC4" w:rsidRPr="00BD7BB4" w:rsidRDefault="00116EC4" w:rsidP="00116EC4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kern w:val="0"/>
          <w:sz w:val="40"/>
          <w:szCs w:val="40"/>
        </w:rPr>
        <w:t>受害者是否能夠在不受報復的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情況下舉報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或求助？</w:t>
      </w:r>
    </w:p>
    <w:p w:rsidR="00116EC4" w:rsidRPr="00BD7BB4" w:rsidRDefault="00116EC4" w:rsidP="00116EC4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改進建議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</w:t>
      </w:r>
    </w:p>
    <w:p w:rsidR="00116EC4" w:rsidRPr="00BD7BB4" w:rsidRDefault="00116EC4" w:rsidP="00116EC4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kern w:val="0"/>
          <w:sz w:val="40"/>
          <w:szCs w:val="40"/>
        </w:rPr>
        <w:t>受調查者是否對目前的防治規定或措施有改進建議？</w:t>
      </w:r>
    </w:p>
    <w:p w:rsidR="00116EC4" w:rsidRPr="00BD7BB4" w:rsidRDefault="00116EC4" w:rsidP="00116EC4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kern w:val="0"/>
          <w:sz w:val="40"/>
          <w:szCs w:val="40"/>
        </w:rPr>
        <w:t>相關措施是否足夠、完善？</w:t>
      </w:r>
    </w:p>
    <w:p w:rsidR="009443BA" w:rsidRPr="00BD7BB4" w:rsidRDefault="009443BA" w:rsidP="00116EC4">
      <w:pPr>
        <w:widowControl/>
        <w:pBdr>
          <w:top w:val="single" w:sz="6" w:space="1" w:color="auto"/>
        </w:pBdr>
        <w:jc w:val="center"/>
        <w:rPr>
          <w:rFonts w:ascii="標楷體" w:eastAsia="標楷體" w:hAnsi="標楷體" w:cs="Arial"/>
          <w:kern w:val="0"/>
          <w:sz w:val="40"/>
          <w:szCs w:val="40"/>
        </w:rPr>
      </w:pPr>
    </w:p>
    <w:p w:rsidR="009443BA" w:rsidRPr="00BD7BB4" w:rsidRDefault="009443BA" w:rsidP="00BD7BB4">
      <w:pPr>
        <w:widowControl/>
        <w:jc w:val="center"/>
        <w:rPr>
          <w:rFonts w:ascii="標楷體" w:eastAsia="標楷體" w:hAnsi="標楷體" w:cs="新細明體"/>
          <w:kern w:val="0"/>
          <w:sz w:val="48"/>
          <w:szCs w:val="48"/>
        </w:rPr>
      </w:pPr>
      <w:r w:rsidRPr="00BD7BB4">
        <w:rPr>
          <w:rFonts w:ascii="標楷體" w:eastAsia="標楷體" w:hAnsi="標楷體" w:cs="新細明體"/>
          <w:kern w:val="0"/>
          <w:sz w:val="48"/>
          <w:szCs w:val="48"/>
        </w:rPr>
        <w:t>通報/申訴單位</w:t>
      </w:r>
    </w:p>
    <w:p w:rsidR="009443BA" w:rsidRPr="00BD7BB4" w:rsidRDefault="009443BA" w:rsidP="009443BA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kern w:val="0"/>
          <w:sz w:val="40"/>
          <w:szCs w:val="40"/>
        </w:rPr>
        <w:t>在設計「通報/申訴單位」部分時，目的是為了讓遭遇職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場霸凌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的個體能夠有效、便捷地提出申訴，並保障其不受報復。以下是關於通報/申訴單位的常見設置：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1. 設立專門的通報/申訴單位</w:t>
      </w:r>
    </w:p>
    <w:p w:rsidR="009443BA" w:rsidRPr="00BD7BB4" w:rsidRDefault="009443BA" w:rsidP="009443BA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單位名稱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：確定一個專門負責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處理霸凌事件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的單位，例如「職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場霸凌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防治委員會」或「人事處（或勞工服務部門）」。</w:t>
      </w:r>
    </w:p>
    <w:p w:rsidR="009443BA" w:rsidRPr="00BD7BB4" w:rsidRDefault="009443BA" w:rsidP="009443BA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lastRenderedPageBreak/>
        <w:t>負責人員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：指定一名負責人或多名人員來專門處理這些案件，並確保其具備必要的專業知識，例如心理輔導、法律知識等。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2. 通報渠道：</w:t>
      </w:r>
    </w:p>
    <w:p w:rsidR="009443BA" w:rsidRPr="00BD7BB4" w:rsidRDefault="009443BA" w:rsidP="009443BA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proofErr w:type="gramStart"/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線上通報</w:t>
      </w:r>
      <w:proofErr w:type="gramEnd"/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系統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：設置一個專門的網頁或平台，受害者可以匿名或公開提交通報資料，並追蹤案件處理進度。</w:t>
      </w:r>
    </w:p>
    <w:p w:rsidR="009443BA" w:rsidRPr="00BD7BB4" w:rsidRDefault="009443BA" w:rsidP="009443BA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書面通報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：設置紙本通報表格，並提供給所有職場成員（包括學生、教師、行政人員等），便於當事人填寫並遞交。</w:t>
      </w:r>
    </w:p>
    <w:p w:rsidR="009443BA" w:rsidRPr="00BD7BB4" w:rsidRDefault="009443BA" w:rsidP="009443BA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專線電話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：設置一個專門的電話熱線，受害者可以直接撥打進行報告，並可選擇是否匿名。</w:t>
      </w:r>
    </w:p>
    <w:p w:rsidR="009443BA" w:rsidRPr="00BD7BB4" w:rsidRDefault="009443BA" w:rsidP="009443BA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電子郵件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：提供專門的電子郵件地址，受害者可將事件詳細情況及證據發送至該郵箱進行處理。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3. 通報/申訴流程：</w:t>
      </w:r>
    </w:p>
    <w:p w:rsidR="009443BA" w:rsidRPr="00BD7BB4" w:rsidRDefault="009443BA" w:rsidP="009443BA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申訴接收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：通報或申訴單位在收到通報後應立即確認並提供回覆，讓申訴人知道案件正在處理中。</w:t>
      </w:r>
    </w:p>
    <w:p w:rsidR="009443BA" w:rsidRPr="00BD7BB4" w:rsidRDefault="009443BA" w:rsidP="009443BA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資料保密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：在整個通報過程中，通報者的身份應保持保密，以免遭遇報復。處理過程中也要注意隱私的保護。</w:t>
      </w:r>
    </w:p>
    <w:p w:rsidR="009443BA" w:rsidRPr="00BD7BB4" w:rsidRDefault="009443BA" w:rsidP="009443BA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lastRenderedPageBreak/>
        <w:t>調查與處理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：通報單位會根據所提供的資料進行調查，並視情況進行面談、收集證據等必要程序。</w:t>
      </w:r>
    </w:p>
    <w:p w:rsidR="009443BA" w:rsidRPr="00BD7BB4" w:rsidRDefault="009443BA" w:rsidP="009443BA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結果反饋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：經過調查後，將給予通報者及相關方處理結果的回覆，包括是否成立、已採取的處罰措施等。</w:t>
      </w:r>
    </w:p>
    <w:p w:rsidR="009443BA" w:rsidRPr="00BD7BB4" w:rsidRDefault="009443BA" w:rsidP="009443BA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持續監控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：處理完畢後，應持續跟蹤事件的後續發展，防止報復行為發生。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4. 支援服務：</w:t>
      </w:r>
    </w:p>
    <w:p w:rsidR="009443BA" w:rsidRPr="00BD7BB4" w:rsidRDefault="009443BA" w:rsidP="009443BA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心理輔導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：設立專業的心理輔導資源，對通報者及其他受影響者提供心理疏導和支持。</w:t>
      </w:r>
    </w:p>
    <w:p w:rsidR="009443BA" w:rsidRPr="00BD7BB4" w:rsidRDefault="009443BA" w:rsidP="009443BA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法律援助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：如果有需要，提供法律諮詢服務，協助受害者了解自身權益並尋求法律救濟。</w:t>
      </w:r>
    </w:p>
    <w:p w:rsidR="009443BA" w:rsidRPr="00BD7BB4" w:rsidRDefault="009443BA" w:rsidP="009443BA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保護措施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：對於可能受到報復的通報者，可以考慮採取保護措施，如調換工作部門或調整工作環境等。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5. 申訴結果與懲處：</w:t>
      </w:r>
    </w:p>
    <w:p w:rsidR="009443BA" w:rsidRPr="00BD7BB4" w:rsidRDefault="009443BA" w:rsidP="009443BA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結果透明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：應公開案件處理的結果，但仍需保護當事人的隱私。公開的應該是處理程序及所採取的措施，而不是具體的個人細節。</w:t>
      </w:r>
    </w:p>
    <w:p w:rsidR="009443BA" w:rsidRPr="00BD7BB4" w:rsidRDefault="009443BA" w:rsidP="009443BA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lastRenderedPageBreak/>
        <w:t>懲處措施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：若調查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確認霸凌行為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，應依照規定對加害者進行懲處，如警告、訓誡、調職、停職等，嚴重者甚至可能解雇。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6. 外部申訴渠道：</w:t>
      </w:r>
    </w:p>
    <w:p w:rsidR="009443BA" w:rsidRPr="00BD7BB4" w:rsidRDefault="009443BA" w:rsidP="009443BA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政府部門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：在學校或機構內部無法解決問題時，受害者可以向政府相關部門（如勞工部門、性別平等單位等）提出申訴。</w:t>
      </w:r>
    </w:p>
    <w:p w:rsidR="009443BA" w:rsidRPr="00BD7BB4" w:rsidRDefault="009443BA" w:rsidP="009443BA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第三方機構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：有些機構也可以提供第三方調解服務，協助解決爭議。</w:t>
      </w:r>
    </w:p>
    <w:p w:rsidR="009443BA" w:rsidRPr="00BD7BB4" w:rsidRDefault="009443BA" w:rsidP="00116EC4">
      <w:pPr>
        <w:widowControl/>
        <w:pBdr>
          <w:top w:val="single" w:sz="6" w:space="1" w:color="auto"/>
        </w:pBdr>
        <w:jc w:val="center"/>
        <w:rPr>
          <w:rFonts w:ascii="標楷體" w:eastAsia="標楷體" w:hAnsi="標楷體" w:cs="Arial"/>
          <w:kern w:val="0"/>
          <w:sz w:val="40"/>
          <w:szCs w:val="40"/>
        </w:rPr>
      </w:pPr>
    </w:p>
    <w:p w:rsidR="009443BA" w:rsidRPr="00BD7BB4" w:rsidRDefault="009443BA" w:rsidP="00116EC4">
      <w:pPr>
        <w:widowControl/>
        <w:pBdr>
          <w:top w:val="single" w:sz="6" w:space="1" w:color="auto"/>
        </w:pBdr>
        <w:jc w:val="center"/>
        <w:rPr>
          <w:rFonts w:ascii="標楷體" w:eastAsia="標楷體" w:hAnsi="標楷體" w:cs="Arial"/>
          <w:kern w:val="0"/>
          <w:sz w:val="40"/>
          <w:szCs w:val="40"/>
        </w:rPr>
      </w:pPr>
    </w:p>
    <w:p w:rsidR="009443BA" w:rsidRPr="00BD7BB4" w:rsidRDefault="009443BA" w:rsidP="00BD7BB4">
      <w:pPr>
        <w:widowControl/>
        <w:jc w:val="center"/>
        <w:rPr>
          <w:rFonts w:ascii="標楷體" w:eastAsia="標楷體" w:hAnsi="標楷體" w:cs="新細明體"/>
          <w:kern w:val="0"/>
          <w:sz w:val="48"/>
          <w:szCs w:val="48"/>
        </w:rPr>
      </w:pPr>
      <w:r w:rsidRPr="00BD7BB4">
        <w:rPr>
          <w:rFonts w:ascii="標楷體" w:eastAsia="標楷體" w:hAnsi="標楷體" w:cs="新細明體"/>
          <w:kern w:val="0"/>
          <w:sz w:val="48"/>
          <w:szCs w:val="48"/>
        </w:rPr>
        <w:t>通報/申訴後續處理單位</w:t>
      </w:r>
    </w:p>
    <w:p w:rsidR="009443BA" w:rsidRPr="00BD7BB4" w:rsidRDefault="009443BA" w:rsidP="009443BA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kern w:val="0"/>
          <w:sz w:val="40"/>
          <w:szCs w:val="40"/>
        </w:rPr>
        <w:t>在職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場霸凌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事件的</w:t>
      </w: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通報/申訴後續處理單位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中，主要是負責確保事件得到有效處理、追蹤案件進展、提供支持服務，以及執行適當的懲處措施。這些單位的設置不僅能確保正義得到伸張，還能保障所有人的權益，避免報復和對工作環境的負面影響。</w:t>
      </w:r>
    </w:p>
    <w:p w:rsidR="009443BA" w:rsidRPr="00BD7BB4" w:rsidRDefault="009443BA" w:rsidP="009443BA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kern w:val="0"/>
          <w:sz w:val="40"/>
          <w:szCs w:val="40"/>
        </w:rPr>
        <w:t>以下是通報/申訴後續處理單位的常見設置與職責：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lastRenderedPageBreak/>
        <w:t>1. 處理單位設置：</w:t>
      </w:r>
    </w:p>
    <w:p w:rsidR="009443BA" w:rsidRPr="00BD7BB4" w:rsidRDefault="009443BA" w:rsidP="009443BA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專責</w:t>
      </w:r>
      <w:proofErr w:type="gramStart"/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反霸凌小組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：此單位負責處理所有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有關霸凌的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投訴，通常由學校或機構的人力資源部門、法律顧問、心理輔導員等組成。其工作內容包括調查事件、聽取當事人陳述、搜集證據等。</w:t>
      </w:r>
    </w:p>
    <w:p w:rsidR="009443BA" w:rsidRPr="00BD7BB4" w:rsidRDefault="009443BA" w:rsidP="009443BA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申訴處理委員會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：設立一個獨立的委員會，對通報案件進行詳細審查。此委員會由來自不同部門（如人事、法律、心理輔導等）的專業人士組成，負責確保調查的公正性和透明性。</w:t>
      </w:r>
    </w:p>
    <w:p w:rsidR="009443BA" w:rsidRPr="00BD7BB4" w:rsidRDefault="009443BA" w:rsidP="009443BA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紀律處分單位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：負責根據調查結果對加害者進行紀律處分，並確保懲罰措施的合理性和合法性。此單位通常由學校或機構的紀律委員會或人力資源部門負責。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2. 後續處理流程：</w:t>
      </w:r>
    </w:p>
    <w:p w:rsidR="009443BA" w:rsidRPr="00BD7BB4" w:rsidRDefault="009443BA" w:rsidP="009443BA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案件初步審查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：處理單位在收到通報後，會進行案件的初步審查，確認是否符合申訴條件，並分配專門人員進行調查。</w:t>
      </w:r>
    </w:p>
    <w:p w:rsidR="009443BA" w:rsidRPr="00BD7BB4" w:rsidRDefault="009443BA" w:rsidP="009443BA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調查與採集證據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：調查小組會依據通報者提供的證據和證人證言進行調查，必要時可以進行面談，並整理相關證據。</w:t>
      </w:r>
    </w:p>
    <w:p w:rsidR="009443BA" w:rsidRPr="00BD7BB4" w:rsidRDefault="009443BA" w:rsidP="009443BA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對受害者的保護與支援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 xml:space="preserve">： </w:t>
      </w:r>
    </w:p>
    <w:p w:rsidR="009443BA" w:rsidRPr="00BD7BB4" w:rsidRDefault="009443BA" w:rsidP="009443BA">
      <w:pPr>
        <w:widowControl/>
        <w:numPr>
          <w:ilvl w:val="1"/>
          <w:numId w:val="9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kern w:val="0"/>
          <w:sz w:val="40"/>
          <w:szCs w:val="40"/>
        </w:rPr>
        <w:lastRenderedPageBreak/>
        <w:t>受害者在整個過程中應得到心理支援，並且應保護其身份，防止報復。</w:t>
      </w:r>
    </w:p>
    <w:p w:rsidR="009443BA" w:rsidRPr="00BD7BB4" w:rsidRDefault="009443BA" w:rsidP="009443BA">
      <w:pPr>
        <w:widowControl/>
        <w:numPr>
          <w:ilvl w:val="1"/>
          <w:numId w:val="9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kern w:val="0"/>
          <w:sz w:val="40"/>
          <w:szCs w:val="40"/>
        </w:rPr>
        <w:t>提供受害者法律諮詢和心理輔導等支持服務，確保其得到全面的幫助。</w:t>
      </w:r>
    </w:p>
    <w:p w:rsidR="009443BA" w:rsidRPr="00BD7BB4" w:rsidRDefault="009443BA" w:rsidP="009443BA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處理結果的通知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 xml:space="preserve">： </w:t>
      </w:r>
    </w:p>
    <w:p w:rsidR="009443BA" w:rsidRPr="00BD7BB4" w:rsidRDefault="009443BA" w:rsidP="009443BA">
      <w:pPr>
        <w:widowControl/>
        <w:numPr>
          <w:ilvl w:val="1"/>
          <w:numId w:val="9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kern w:val="0"/>
          <w:sz w:val="40"/>
          <w:szCs w:val="40"/>
        </w:rPr>
        <w:t>調查完成後，應向受害者及加害者反饋處理結果。這可以是處分決定、進一步的調查措施或未能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成立霸凌指控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的解釋。</w:t>
      </w:r>
    </w:p>
    <w:p w:rsidR="009443BA" w:rsidRPr="00BD7BB4" w:rsidRDefault="009443BA" w:rsidP="009443BA">
      <w:pPr>
        <w:widowControl/>
        <w:numPr>
          <w:ilvl w:val="1"/>
          <w:numId w:val="9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kern w:val="0"/>
          <w:sz w:val="40"/>
          <w:szCs w:val="40"/>
        </w:rPr>
        <w:t>如果涉及機構內部人員，應根據機構規章進行適當的懲罰，如警告、調職、停職或解雇。</w:t>
      </w:r>
    </w:p>
    <w:p w:rsidR="009443BA" w:rsidRPr="00BD7BB4" w:rsidRDefault="009443BA" w:rsidP="009443BA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報復防止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：後續處理單位應制定措施，防止受害者遭遇報復或惡性循環，並確保案件處理後不再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出現霸凌行為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3. 後續支持服務：</w:t>
      </w:r>
    </w:p>
    <w:p w:rsidR="009443BA" w:rsidRPr="00BD7BB4" w:rsidRDefault="009443BA" w:rsidP="009443BA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心理輔導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：提供專業的心理輔導服務，對受害者、加害者以及事件目擊者進行情感疏導，幫助當事人從事件中恢復過來。</w:t>
      </w:r>
    </w:p>
    <w:p w:rsidR="009443BA" w:rsidRPr="00BD7BB4" w:rsidRDefault="009443BA" w:rsidP="009443BA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法律援助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：對於有需要的當事人，提供法律援助，幫助他們了解自己的合法權益，並協助他們採取法律行動。</w:t>
      </w:r>
    </w:p>
    <w:p w:rsidR="009443BA" w:rsidRPr="00BD7BB4" w:rsidRDefault="009443BA" w:rsidP="009443BA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lastRenderedPageBreak/>
        <w:t>教育與宣導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：在事件處理過後，應加強對全體員工或學生的職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場霸凌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防治教育和宣導，提高大家的防範意識，促進積極健康的工作環境。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4. 監督機制與透明度：</w:t>
      </w:r>
    </w:p>
    <w:p w:rsidR="009443BA" w:rsidRPr="00BD7BB4" w:rsidRDefault="009443BA" w:rsidP="009443BA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案件回顧與監督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：通報/申訴後續處理單位應定期回顧和監督已處理案件，確保所有措施得到了執行並有效防止類似事件的發生。</w:t>
      </w:r>
    </w:p>
    <w:p w:rsidR="009443BA" w:rsidRPr="00BD7BB4" w:rsidRDefault="009443BA" w:rsidP="009443BA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結果透明度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：應根據需要公開處理結果，以增強公信力。需要注意的是，涉及當事人隱私的資料應保持保密，只公開與事件處理有關的總體情況。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5. 外部監督與支持：</w:t>
      </w:r>
    </w:p>
    <w:p w:rsidR="009443BA" w:rsidRPr="00BD7BB4" w:rsidRDefault="009443BA" w:rsidP="009443BA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第三方機構監督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：對於處理過程不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滿意的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當事人，可以向外部第三方機構（如勞工部門、性別平等機構等）提出申訴，保證公平處理。</w:t>
      </w:r>
    </w:p>
    <w:p w:rsidR="009443BA" w:rsidRPr="00BD7BB4" w:rsidRDefault="009443BA" w:rsidP="009443BA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政府部門與社會支持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：當校內或機構內部的處理機制無法達成公平處理時，可以向政府部門尋求調解，並通報給有關的監察機構。</w:t>
      </w:r>
    </w:p>
    <w:p w:rsidR="009443BA" w:rsidRPr="00BD7BB4" w:rsidRDefault="009443BA" w:rsidP="009443BA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kern w:val="0"/>
          <w:sz w:val="40"/>
          <w:szCs w:val="40"/>
        </w:rPr>
        <w:lastRenderedPageBreak/>
        <w:t>這樣的後續處理單位和流程能夠確保職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場霸凌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案件的透明、公正和高效處理，並保障當事人的基本權益。如果您有其他問題，或需要具體範本或範例，隨時告訴我！</w:t>
      </w:r>
    </w:p>
    <w:p w:rsidR="009443BA" w:rsidRPr="00BD7BB4" w:rsidRDefault="009443BA" w:rsidP="009443BA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</w:p>
    <w:p w:rsidR="009443BA" w:rsidRPr="00BD7BB4" w:rsidRDefault="009443BA" w:rsidP="00BD7BB4">
      <w:pPr>
        <w:widowControl/>
        <w:jc w:val="center"/>
        <w:rPr>
          <w:rFonts w:ascii="標楷體" w:eastAsia="標楷體" w:hAnsi="標楷體" w:cs="新細明體"/>
          <w:kern w:val="0"/>
          <w:sz w:val="48"/>
          <w:szCs w:val="48"/>
        </w:rPr>
      </w:pPr>
      <w:r w:rsidRPr="00BD7BB4">
        <w:rPr>
          <w:rFonts w:ascii="標楷體" w:eastAsia="標楷體" w:hAnsi="標楷體" w:cs="新細明體"/>
          <w:kern w:val="0"/>
          <w:sz w:val="48"/>
          <w:szCs w:val="48"/>
        </w:rPr>
        <w:t>處理/申訴程序是否有設定時限（有，請予敘明）</w:t>
      </w:r>
    </w:p>
    <w:p w:rsidR="009443BA" w:rsidRPr="00BD7BB4" w:rsidRDefault="009443BA" w:rsidP="009443BA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kern w:val="0"/>
          <w:sz w:val="40"/>
          <w:szCs w:val="40"/>
        </w:rPr>
        <w:t>在處理職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場霸凌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通報或申訴時，設定清晰的時限對於保障當事人權益和確保案件迅速、公正地處理至關重要。設置時限能夠提高案件處理的效率，並避免長期拖延。以下是常見的職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場霸凌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處理/申訴程序的時限設置建議：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1. 通報接收及初步審查時限：</w:t>
      </w:r>
    </w:p>
    <w:p w:rsidR="009443BA" w:rsidRPr="00BD7BB4" w:rsidRDefault="009443BA" w:rsidP="009443BA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通報接收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：當事人提出職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場霸凌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通報後，通報單位應在</w:t>
      </w: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24小時內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確認收到通報並通知通報人。這樣可以確保通報者知道案件已經開始處理。</w:t>
      </w:r>
    </w:p>
    <w:p w:rsidR="009443BA" w:rsidRPr="00BD7BB4" w:rsidRDefault="009443BA" w:rsidP="009443BA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初步審查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：通報單位應在收到通報後的</w:t>
      </w: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3-5個工作日內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進行初步審查，確定案件是否符合處理條件，並決定是否進入正式調查程序。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2. 調查及證據收集時限：</w:t>
      </w:r>
    </w:p>
    <w:p w:rsidR="009443BA" w:rsidRPr="00BD7BB4" w:rsidRDefault="009443BA" w:rsidP="009443BA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lastRenderedPageBreak/>
        <w:t>調查開始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：在案件進入調查階段後，調查小組應該</w:t>
      </w: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在7個工作日內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開始正式調查，並安排面談、證據收集等工作。</w:t>
      </w:r>
    </w:p>
    <w:p w:rsidR="009443BA" w:rsidRPr="00BD7BB4" w:rsidRDefault="009443BA" w:rsidP="009443BA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調查時限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：針對每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個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案件，調查過程應設有具體時限，通常應該在</w:t>
      </w: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15-20個工作日內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完成調查，具體時限可根據案件複雜程度有所調整。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3. 處理結果通知時限：</w:t>
      </w:r>
    </w:p>
    <w:p w:rsidR="009443BA" w:rsidRPr="00BD7BB4" w:rsidRDefault="009443BA" w:rsidP="009443BA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結果通知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：調查結束後，處理單位應在</w:t>
      </w: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5個工作日內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向當事人反饋調查結果，包括是否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成立霸凌行為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，採取的處罰措施以及未來的改進方案等。</w:t>
      </w:r>
    </w:p>
    <w:p w:rsidR="009443BA" w:rsidRPr="00BD7BB4" w:rsidRDefault="009443BA" w:rsidP="009443BA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後續支援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：如果確認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存在霸凌行為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，應儘快提供受害者所需的支援服務，如心理輔導或法律援助，通常應在</w:t>
      </w: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2個工作日內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安排。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4. 懲處及改進措施時限：</w:t>
      </w:r>
    </w:p>
    <w:p w:rsidR="009443BA" w:rsidRPr="00BD7BB4" w:rsidRDefault="009443BA" w:rsidP="009443BA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懲處與改進措施執行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：若案件調查結果確認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存在霸凌行為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，應根據規定的懲處措施（如警告、調職、停職等）在</w:t>
      </w: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10個工作日內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執行。對加害者的處罰應具體且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嚴格，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並確保不會對受害者造成進一步傷害。</w:t>
      </w:r>
    </w:p>
    <w:p w:rsidR="009443BA" w:rsidRPr="00BD7BB4" w:rsidRDefault="009443BA" w:rsidP="009443BA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lastRenderedPageBreak/>
        <w:t>報復防範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：為防止報復行為，應建立後續的監督機制，確保受害者不會遭遇任何形式的報復。監控措施應持續</w:t>
      </w: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3個月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以上，並定期進行回顧。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5. 案件結案及回顧時限：</w:t>
      </w:r>
    </w:p>
    <w:p w:rsidR="009443BA" w:rsidRPr="00BD7BB4" w:rsidRDefault="009443BA" w:rsidP="009443BA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結案時間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：案件處理結束後，處理單位應在</w:t>
      </w: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30個工作日內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完成案件結案處理並作出最後總結，這包括確認所有處理措施是否已經落實，並將處理結果存檔。</w:t>
      </w:r>
    </w:p>
    <w:p w:rsidR="009443BA" w:rsidRPr="00BD7BB4" w:rsidRDefault="009443BA" w:rsidP="009443BA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案件回顧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：處理單位應定期進行案件回顧，特別是在大規模職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場霸凌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案件後，以便改進相關政策或程序。回顧時間可設在</w:t>
      </w: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3個月內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，並視情況進行調整。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6. 上訴或再審程序時限：</w:t>
      </w:r>
    </w:p>
    <w:p w:rsidR="009443BA" w:rsidRPr="00BD7BB4" w:rsidRDefault="009443BA" w:rsidP="009443BA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上訴時間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：如果當事人對處理結果不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滿意，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應設有上訴期限，通常為</w:t>
      </w: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5-7個工作日內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提出。處理單位需要在</w:t>
      </w: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10個工作日內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對上訴進行審查並做出結果。</w:t>
      </w:r>
    </w:p>
    <w:p w:rsidR="009443BA" w:rsidRPr="00BD7BB4" w:rsidRDefault="009443BA" w:rsidP="009443BA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再審程序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：若經過上訴後仍存在爭議，應設有</w:t>
      </w: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再審期限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，通常為</w:t>
      </w: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15個工作日內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完成。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7. 保密與防止報復的時限：</w:t>
      </w:r>
    </w:p>
    <w:p w:rsidR="009443BA" w:rsidRPr="00BD7BB4" w:rsidRDefault="009443BA" w:rsidP="009443BA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lastRenderedPageBreak/>
        <w:t>保密措施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：整個過程中應嚴格保護當事人的隱私，並防止任何形式的報復。處理過程中的保密性應貫穿始終，並持續至事件結束後至少</w:t>
      </w: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3個月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。</w:t>
      </w:r>
    </w:p>
    <w:p w:rsidR="009443BA" w:rsidRPr="00BD7BB4" w:rsidRDefault="009443BA" w:rsidP="00BD7BB4">
      <w:pPr>
        <w:widowControl/>
        <w:jc w:val="center"/>
        <w:rPr>
          <w:rFonts w:ascii="標楷體" w:eastAsia="標楷體" w:hAnsi="標楷體" w:cs="新細明體"/>
          <w:kern w:val="0"/>
          <w:sz w:val="48"/>
          <w:szCs w:val="48"/>
        </w:rPr>
      </w:pPr>
      <w:r w:rsidRPr="00BD7BB4">
        <w:rPr>
          <w:rFonts w:ascii="標楷體" w:eastAsia="標楷體" w:hAnsi="標楷體" w:cs="新細明體"/>
          <w:kern w:val="0"/>
          <w:sz w:val="48"/>
          <w:szCs w:val="48"/>
        </w:rPr>
        <w:t>是否訂有相關懲處規定</w:t>
      </w:r>
    </w:p>
    <w:p w:rsidR="009443BA" w:rsidRPr="00BD7BB4" w:rsidRDefault="009443BA" w:rsidP="009443BA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kern w:val="0"/>
          <w:sz w:val="40"/>
          <w:szCs w:val="40"/>
        </w:rPr>
        <w:t>在職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場霸凌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防治規定中，確立清晰的懲處規定是非常重要的，這不僅有助於震懾不當行為，也能保護受害者的權益，確保所有員工或學生在工作/學習環境中的安全和尊嚴。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相關懲處規定的設置</w:t>
      </w:r>
    </w:p>
    <w:p w:rsidR="009443BA" w:rsidRPr="00BD7BB4" w:rsidRDefault="009443BA" w:rsidP="009443BA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kern w:val="0"/>
          <w:sz w:val="40"/>
          <w:szCs w:val="40"/>
        </w:rPr>
        <w:t>職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場霸凌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的懲處規定通常會根據事件的嚴重性、加害者的行為及學校或機構的內部規範來進行設置。以下是一些常見的懲處規定：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1. 警告與訓誡</w:t>
      </w:r>
    </w:p>
    <w:p w:rsidR="009443BA" w:rsidRPr="00BD7BB4" w:rsidRDefault="009443BA" w:rsidP="009443BA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第一次違規輕微行為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：對於初次被發現有輕微職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場霸凌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行為的員工或學生，可採取警告或訓誡的方式。這通常適用於行為並未造成重大傷害，但已經違反了工作場所的基本規範或道德標準的情況。</w:t>
      </w:r>
    </w:p>
    <w:p w:rsidR="009443BA" w:rsidRPr="00BD7BB4" w:rsidRDefault="009443BA" w:rsidP="009443BA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書面警告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：提供書面警告，要求加害者改正行為，並通知其若再次發生類似行為，將會面臨更嚴重的處分。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lastRenderedPageBreak/>
        <w:t>2. 調職或調班</w:t>
      </w:r>
    </w:p>
    <w:p w:rsidR="009443BA" w:rsidRPr="00BD7BB4" w:rsidRDefault="009443BA" w:rsidP="009443BA">
      <w:pPr>
        <w:widowControl/>
        <w:numPr>
          <w:ilvl w:val="0"/>
          <w:numId w:val="2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情節較重者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：對於經過調查確認有職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場霸凌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行為的員工或學生，且該行為造成一定程度的傷害，但未達到解雇的程度，可以採取調職或調班的措施，將加害者從與受害者直接接觸的工作環境中調離。</w:t>
      </w:r>
    </w:p>
    <w:p w:rsidR="009443BA" w:rsidRPr="00BD7BB4" w:rsidRDefault="009443BA" w:rsidP="009443BA">
      <w:pPr>
        <w:widowControl/>
        <w:numPr>
          <w:ilvl w:val="0"/>
          <w:numId w:val="2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不再與受害者共事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：這樣的處罰措施不僅能保護受害者，還能給加害者一個改正的機會。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3. 停職或停學</w:t>
      </w:r>
    </w:p>
    <w:p w:rsidR="009443BA" w:rsidRPr="00BD7BB4" w:rsidRDefault="009443BA" w:rsidP="009443BA">
      <w:pPr>
        <w:widowControl/>
        <w:numPr>
          <w:ilvl w:val="0"/>
          <w:numId w:val="2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短期停職或停學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：對於較為嚴重的職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場霸凌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行為，可以採取短期的停職或停學處分，這通常是當加害者的行為對受害者造成了精神或身體上的顯著傷害，但尚不需要解雇或開除時的選擇。</w:t>
      </w:r>
    </w:p>
    <w:p w:rsidR="009443BA" w:rsidRPr="00BD7BB4" w:rsidRDefault="009443BA" w:rsidP="009443BA">
      <w:pPr>
        <w:widowControl/>
        <w:numPr>
          <w:ilvl w:val="0"/>
          <w:numId w:val="2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期間監督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：停職期間通常會進行監督，並要求加害者參加反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思或反霸凌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的培訓課程。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4. 解雇或開除</w:t>
      </w:r>
    </w:p>
    <w:p w:rsidR="009443BA" w:rsidRPr="00BD7BB4" w:rsidRDefault="009443BA" w:rsidP="009443BA">
      <w:pPr>
        <w:widowControl/>
        <w:numPr>
          <w:ilvl w:val="0"/>
          <w:numId w:val="2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嚴重職</w:t>
      </w:r>
      <w:proofErr w:type="gramStart"/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場霸凌</w:t>
      </w:r>
      <w:proofErr w:type="gramEnd"/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行為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：對於經過調查確認為嚴重職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場霸凌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的行為（如有持續性、暴力性行為或造成極大身心傷害等），可依規定進行解雇或開除處分。</w:t>
      </w:r>
    </w:p>
    <w:p w:rsidR="009443BA" w:rsidRPr="00BD7BB4" w:rsidRDefault="009443BA" w:rsidP="009443BA">
      <w:pPr>
        <w:widowControl/>
        <w:numPr>
          <w:ilvl w:val="0"/>
          <w:numId w:val="2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lastRenderedPageBreak/>
        <w:t>高風險行為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：這類懲處多用於對受害者造成長期心理創傷、身體傷害，或有報復行為、性騷擾等極端行為的情況。解雇通常是最終手段，並應經過充分的調查和審查。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5. 教育與輔導措施</w:t>
      </w:r>
    </w:p>
    <w:p w:rsidR="009443BA" w:rsidRPr="00BD7BB4" w:rsidRDefault="009443BA" w:rsidP="009443BA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行為矯正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：對於部分行為較輕的加害者，學校或機構可要求其參加專業的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反霸凌教育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、心理輔導或行為矯正課程。這樣的措施旨在促進其行為改變，而不僅是單純的懲罰。</w:t>
      </w:r>
    </w:p>
    <w:p w:rsidR="009443BA" w:rsidRPr="00BD7BB4" w:rsidRDefault="009443BA" w:rsidP="009443BA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行為改善評估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：進行行為改正後，應設立一定的評估期，以確保加害者的行為有所改善，並在此期間進行監控。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6. 法律責任追究</w:t>
      </w:r>
    </w:p>
    <w:p w:rsidR="009443BA" w:rsidRPr="00BD7BB4" w:rsidRDefault="009443BA" w:rsidP="009443BA">
      <w:pPr>
        <w:widowControl/>
        <w:numPr>
          <w:ilvl w:val="0"/>
          <w:numId w:val="25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法律訴訟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如果霸凌行為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涉及違法行為（如性騷擾、暴力或其他刑事犯罪），則可能需要追究其法律責任，並由司法機關處理。</w:t>
      </w:r>
    </w:p>
    <w:p w:rsidR="009443BA" w:rsidRPr="00BD7BB4" w:rsidRDefault="009443BA" w:rsidP="009443BA">
      <w:pPr>
        <w:widowControl/>
        <w:numPr>
          <w:ilvl w:val="0"/>
          <w:numId w:val="25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賠償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：在某些情況下，受害者可能有權要求加害者賠償精神損失或醫療費用等。機構可能會根據案件的具體情況協助受害者進行法律訴訟。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lastRenderedPageBreak/>
        <w:t>7. 報復防止</w:t>
      </w:r>
    </w:p>
    <w:p w:rsidR="009443BA" w:rsidRPr="00BD7BB4" w:rsidRDefault="009443BA" w:rsidP="009443BA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防止報復行為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：為了保障受害者的權益，應有明確的規定來防止加害者或其他同事對受害者進行報復。如果發現有報復行為，應依據規定進行處罰，包括加重對加害者的處分。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8. 情節加重處罰：</w:t>
      </w:r>
    </w:p>
    <w:p w:rsidR="009443BA" w:rsidRPr="00BD7BB4" w:rsidRDefault="009443BA" w:rsidP="009443BA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多次違規者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：對於有多次職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場霸凌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行為的加害者，應根據每次事件的嚴重程度，加重處罰。</w:t>
      </w:r>
    </w:p>
    <w:p w:rsidR="009443BA" w:rsidRPr="00BD7BB4" w:rsidRDefault="009443BA" w:rsidP="009443BA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共犯行為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：如果案件中涉及多名加害者共同參與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霸凌，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應依照每位加害者的具體行為來決定懲罰。</w:t>
      </w:r>
    </w:p>
    <w:p w:rsidR="009443BA" w:rsidRPr="00BD7BB4" w:rsidRDefault="009443BA" w:rsidP="00BD7BB4">
      <w:pPr>
        <w:widowControl/>
        <w:jc w:val="center"/>
        <w:rPr>
          <w:rFonts w:ascii="標楷體" w:eastAsia="標楷體" w:hAnsi="標楷體" w:cs="新細明體"/>
          <w:kern w:val="0"/>
          <w:sz w:val="48"/>
          <w:szCs w:val="48"/>
        </w:rPr>
      </w:pPr>
      <w:r w:rsidRPr="00BD7BB4">
        <w:rPr>
          <w:rFonts w:ascii="標楷體" w:eastAsia="標楷體" w:hAnsi="標楷體" w:cs="新細明體"/>
          <w:kern w:val="0"/>
          <w:sz w:val="48"/>
          <w:szCs w:val="48"/>
        </w:rPr>
        <w:t>通報後是否有適當隔離措施</w:t>
      </w:r>
    </w:p>
    <w:p w:rsidR="009443BA" w:rsidRPr="00BD7BB4" w:rsidRDefault="009443BA" w:rsidP="009443BA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kern w:val="0"/>
          <w:sz w:val="40"/>
          <w:szCs w:val="40"/>
        </w:rPr>
        <w:t>在處理職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場霸凌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案件時，確保受害者的安全和福祉是首要任務。適當的</w:t>
      </w: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隔離措施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是防止受害者在處理過程中遭受進一步的報復或繼續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遭遇霸凌的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重要手段。隔離措施通常不僅僅是物理上的分隔，還包括情感支持、工作環境的調整等方面。以下是一些常見且有效的隔離措施：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1. 臨時調職或調班</w:t>
      </w:r>
    </w:p>
    <w:p w:rsidR="009443BA" w:rsidRPr="00BD7BB4" w:rsidRDefault="009443BA" w:rsidP="009443BA">
      <w:pPr>
        <w:widowControl/>
        <w:numPr>
          <w:ilvl w:val="0"/>
          <w:numId w:val="28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lastRenderedPageBreak/>
        <w:t>避免與加害者直接接觸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如果霸凌事件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的當事人仍需繼續在同一工作場所或學習場所中，應考慮將受害者和加害者分開，</w:t>
      </w: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調換工作崗位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或</w:t>
      </w: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調整班次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，以減少兩者之間的接觸，從而防止可能的衝突或報復行為。</w:t>
      </w:r>
    </w:p>
    <w:p w:rsidR="009443BA" w:rsidRPr="00BD7BB4" w:rsidRDefault="009443BA" w:rsidP="009443BA">
      <w:pPr>
        <w:widowControl/>
        <w:numPr>
          <w:ilvl w:val="0"/>
          <w:numId w:val="28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調整工作環境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：如果調職不便，應安排受害者在不同的辦公區域或工作空間，確保工作環境不再讓受害者感到壓力或不安。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2. 遠程工作或學習安排</w:t>
      </w:r>
    </w:p>
    <w:p w:rsidR="009443BA" w:rsidRPr="00BD7BB4" w:rsidRDefault="009443BA" w:rsidP="009443BA">
      <w:pPr>
        <w:widowControl/>
        <w:numPr>
          <w:ilvl w:val="0"/>
          <w:numId w:val="29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臨時遠程工作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：如果情況允許，受害者可以在調查期間或案件處理過程中被安排</w:t>
      </w: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遠程工作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或</w:t>
      </w: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居家辦公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，這樣可以避免加害者在日常工作環境中的干擾，保護受害者的心理和情感健康。</w:t>
      </w:r>
    </w:p>
    <w:p w:rsidR="009443BA" w:rsidRPr="00BD7BB4" w:rsidRDefault="009443BA" w:rsidP="009443BA">
      <w:pPr>
        <w:widowControl/>
        <w:numPr>
          <w:ilvl w:val="0"/>
          <w:numId w:val="29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遠程學習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：如果事件發生在學校或教育機構，受害者可考慮轉為</w:t>
      </w: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遠程學習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，直到問題得到妥善解決。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3. 物理空間的隔離</w:t>
      </w:r>
    </w:p>
    <w:p w:rsidR="009443BA" w:rsidRPr="00BD7BB4" w:rsidRDefault="009443BA" w:rsidP="009443BA">
      <w:pPr>
        <w:widowControl/>
        <w:numPr>
          <w:ilvl w:val="0"/>
          <w:numId w:val="30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物理空間的調整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：如果受害者和加害者仍然在同一場所，應考慮</w:t>
      </w: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分開他們的工作區域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或課堂，確保加害者不會在同一物理空間中接觸到受害者。這可以防止面對面的衝突和情緒升級。</w:t>
      </w:r>
    </w:p>
    <w:p w:rsidR="009443BA" w:rsidRPr="00BD7BB4" w:rsidRDefault="009443BA" w:rsidP="009443BA">
      <w:pPr>
        <w:widowControl/>
        <w:numPr>
          <w:ilvl w:val="0"/>
          <w:numId w:val="30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lastRenderedPageBreak/>
        <w:t>加強監控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：在處理過程中，若有必要，可增設臨時的</w:t>
      </w: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監控措施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，如有值班人員、監視設備等，來確保受害者在工作環境中的安全。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4. 心理輔導與支持</w:t>
      </w:r>
    </w:p>
    <w:p w:rsidR="009443BA" w:rsidRPr="00BD7BB4" w:rsidRDefault="009443BA" w:rsidP="009443BA">
      <w:pPr>
        <w:widowControl/>
        <w:numPr>
          <w:ilvl w:val="0"/>
          <w:numId w:val="3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心理健康支援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：對於受害者來說，</w:t>
      </w: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心理輔導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是一項重要的隔離措施，能幫助他們處理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因霸凌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事件而產生的焦慮、抑鬱等情緒問題。機構可以為受害者安排專業的心理輔導服務，並確保受害者在處理過程中獲得情感支持。</w:t>
      </w:r>
    </w:p>
    <w:p w:rsidR="009443BA" w:rsidRPr="00BD7BB4" w:rsidRDefault="009443BA" w:rsidP="009443BA">
      <w:pPr>
        <w:widowControl/>
        <w:numPr>
          <w:ilvl w:val="0"/>
          <w:numId w:val="3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支持小組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：可設立一個支援小組，由心理專家、人力資源部門和其他必要部門的工作人員組成，為受害者提供情感和精神上的支持。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5. 保護性措施</w:t>
      </w:r>
    </w:p>
    <w:p w:rsidR="009443BA" w:rsidRPr="00BD7BB4" w:rsidRDefault="009443BA" w:rsidP="009443BA">
      <w:pPr>
        <w:widowControl/>
        <w:numPr>
          <w:ilvl w:val="0"/>
          <w:numId w:val="3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報復防範措施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：如果加害者曾經有過報復威脅或過激行為，應採取額外的保護性措施來保障受害者的安全。這可能包括加強受害者周圍的安全監控、提供安全的通報渠道、定期檢查受害者的安全情況等。</w:t>
      </w:r>
    </w:p>
    <w:p w:rsidR="009443BA" w:rsidRPr="00BD7BB4" w:rsidRDefault="009443BA" w:rsidP="009443BA">
      <w:pPr>
        <w:widowControl/>
        <w:numPr>
          <w:ilvl w:val="0"/>
          <w:numId w:val="3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通知相關部門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：在某些情況下，應通知當地的執法機構或其他有關部門，特別是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在霸凌行為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涉及威脅、暴力或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lastRenderedPageBreak/>
        <w:t>其他刑事問題時。這樣可以在需要時為受害者提供法律保護。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6. 內部保密與隱私保護</w:t>
      </w:r>
    </w:p>
    <w:p w:rsidR="009443BA" w:rsidRPr="00BD7BB4" w:rsidRDefault="009443BA" w:rsidP="009443BA">
      <w:pPr>
        <w:widowControl/>
        <w:numPr>
          <w:ilvl w:val="0"/>
          <w:numId w:val="3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保密措施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：在處理過程中，應對受害者的身份進行保密，避免讓受害者在機構內部或外部社交圈中受到更多的關注或質疑。這不僅有助於保護其隱私，還能減少社會壓力或情感上的傷害。</w:t>
      </w:r>
    </w:p>
    <w:p w:rsidR="009443BA" w:rsidRPr="00BD7BB4" w:rsidRDefault="009443BA" w:rsidP="009443BA">
      <w:pPr>
        <w:widowControl/>
        <w:numPr>
          <w:ilvl w:val="0"/>
          <w:numId w:val="3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匿名通報與支持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：提供匿名通報系統或支持渠道，使受害者能夠在不透露個人信息的情況下獲得幫助，這樣能有效減少其面對加害者或其他人時的壓力。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7. 中立第三方調解</w:t>
      </w:r>
    </w:p>
    <w:p w:rsidR="009443BA" w:rsidRPr="00BD7BB4" w:rsidRDefault="009443BA" w:rsidP="009443BA">
      <w:pPr>
        <w:widowControl/>
        <w:numPr>
          <w:ilvl w:val="0"/>
          <w:numId w:val="3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外部第三方調解機構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：若內部處理未能有效解決問題，受害者可以尋求外部的第三方機構進行調解，這些機構通常能提供中立且專業的處理方案，幫助當事人達成共識。</w:t>
      </w:r>
    </w:p>
    <w:p w:rsidR="009443BA" w:rsidRPr="00BD7BB4" w:rsidRDefault="009443BA" w:rsidP="009443BA">
      <w:pPr>
        <w:widowControl/>
        <w:numPr>
          <w:ilvl w:val="0"/>
          <w:numId w:val="3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調解過程中的隔離措施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：在第三方調解過程中，應確保加害者與受害者不會在同一場所出現，並在調解過程中提供安全、保護性的環境。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8. 報復與恐嚇行為的隔離</w:t>
      </w:r>
    </w:p>
    <w:p w:rsidR="009443BA" w:rsidRPr="00BD7BB4" w:rsidRDefault="009443BA" w:rsidP="009443BA">
      <w:pPr>
        <w:widowControl/>
        <w:numPr>
          <w:ilvl w:val="0"/>
          <w:numId w:val="35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lastRenderedPageBreak/>
        <w:t>防止報復行為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：若加害者存在報復或恐嚇行為，應加強對加害者的監控，並根據具體情況對加害者採取</w:t>
      </w: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臨時停職或限制接觸受害者的措施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，以防止報復行為的發生。</w:t>
      </w:r>
    </w:p>
    <w:p w:rsidR="009443BA" w:rsidRPr="00BD7BB4" w:rsidRDefault="009443BA" w:rsidP="009443BA">
      <w:pPr>
        <w:widowControl/>
        <w:numPr>
          <w:ilvl w:val="0"/>
          <w:numId w:val="35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建立反報復機制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：若受害者擔心在案件處理後仍遭遇報復，應設立專門的報復防範機制和信任機構，確保受害者可以得到長期的保護和支持。</w:t>
      </w:r>
    </w:p>
    <w:p w:rsidR="009443BA" w:rsidRPr="00BD7BB4" w:rsidRDefault="009443BA" w:rsidP="009443BA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</w:p>
    <w:p w:rsidR="009443BA" w:rsidRPr="00BD7BB4" w:rsidRDefault="009443BA" w:rsidP="009443BA">
      <w:pPr>
        <w:widowControl/>
        <w:rPr>
          <w:rFonts w:ascii="標楷體" w:eastAsia="標楷體" w:hAnsi="標楷體" w:cs="新細明體"/>
          <w:b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kern w:val="0"/>
          <w:sz w:val="40"/>
          <w:szCs w:val="40"/>
        </w:rPr>
        <w:t>是否訂有學校不法侵害或職</w:t>
      </w:r>
      <w:proofErr w:type="gramStart"/>
      <w:r w:rsidRPr="00BD7BB4">
        <w:rPr>
          <w:rFonts w:ascii="標楷體" w:eastAsia="標楷體" w:hAnsi="標楷體" w:cs="新細明體"/>
          <w:b/>
          <w:kern w:val="0"/>
          <w:sz w:val="40"/>
          <w:szCs w:val="40"/>
        </w:rPr>
        <w:t>場霸凌</w:t>
      </w:r>
      <w:proofErr w:type="gramEnd"/>
      <w:r w:rsidRPr="00BD7BB4">
        <w:rPr>
          <w:rFonts w:ascii="標楷體" w:eastAsia="標楷體" w:hAnsi="標楷體" w:cs="新細明體"/>
          <w:b/>
          <w:kern w:val="0"/>
          <w:sz w:val="40"/>
          <w:szCs w:val="40"/>
        </w:rPr>
        <w:t>相關規定（如有，請另寄附件）</w:t>
      </w:r>
    </w:p>
    <w:p w:rsidR="009443BA" w:rsidRPr="00BD7BB4" w:rsidRDefault="009443BA" w:rsidP="009443BA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kern w:val="0"/>
          <w:sz w:val="40"/>
          <w:szCs w:val="40"/>
        </w:rPr>
        <w:t>學校或職場內對於不法侵害或職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場霸凌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的相關規定，通常會有專門的政策文件或規範來保障受害者的權益，並確保事件得到適當的處理。這些規定通常會涵蓋以下幾個方面：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1. 職</w:t>
      </w:r>
      <w:proofErr w:type="gramStart"/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場霸凌與</w:t>
      </w:r>
      <w:proofErr w:type="gramEnd"/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不法侵害的定義</w:t>
      </w:r>
    </w:p>
    <w:p w:rsidR="009443BA" w:rsidRPr="00BD7BB4" w:rsidRDefault="009443BA" w:rsidP="009443BA">
      <w:pPr>
        <w:widowControl/>
        <w:numPr>
          <w:ilvl w:val="0"/>
          <w:numId w:val="3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職</w:t>
      </w:r>
      <w:proofErr w:type="gramStart"/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場霸凌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包括但不限於言語或行為上的侮辱、排擠、威脅、恐嚇、強迫等，對受害者造成身心或情感傷害的行為。</w:t>
      </w:r>
    </w:p>
    <w:p w:rsidR="009443BA" w:rsidRPr="00BD7BB4" w:rsidRDefault="009443BA" w:rsidP="009443BA">
      <w:pPr>
        <w:widowControl/>
        <w:numPr>
          <w:ilvl w:val="0"/>
          <w:numId w:val="3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不法侵害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：包括性騷擾、暴力、虐待、侮辱、侵犯隱私等對人身權利的侵害行為。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lastRenderedPageBreak/>
        <w:t>2. 通報與申訴程序</w:t>
      </w:r>
    </w:p>
    <w:p w:rsidR="009443BA" w:rsidRPr="00BD7BB4" w:rsidRDefault="009443BA" w:rsidP="009443BA">
      <w:pPr>
        <w:widowControl/>
        <w:numPr>
          <w:ilvl w:val="0"/>
          <w:numId w:val="37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通報管道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：設有專門的通報渠道，保障受害者可以匿名或公開方式通報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霸凌或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不法侵害事件。</w:t>
      </w:r>
    </w:p>
    <w:p w:rsidR="009443BA" w:rsidRPr="00BD7BB4" w:rsidRDefault="009443BA" w:rsidP="009443BA">
      <w:pPr>
        <w:widowControl/>
        <w:numPr>
          <w:ilvl w:val="0"/>
          <w:numId w:val="37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申訴程序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：明確規定如何提出正式的申訴，申訴後如何進行調查、處理，並設定處理時間限制。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3. 處理與懲處措施</w:t>
      </w:r>
    </w:p>
    <w:p w:rsidR="009443BA" w:rsidRPr="00BD7BB4" w:rsidRDefault="009443BA" w:rsidP="009443BA">
      <w:pPr>
        <w:widowControl/>
        <w:numPr>
          <w:ilvl w:val="0"/>
          <w:numId w:val="38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調查與處理流程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：規定調查小組的成立、責任和時間範圍，並確保調查過程的公平、公正和透明。</w:t>
      </w:r>
    </w:p>
    <w:p w:rsidR="009443BA" w:rsidRPr="00BD7BB4" w:rsidRDefault="009443BA" w:rsidP="009443BA">
      <w:pPr>
        <w:widowControl/>
        <w:numPr>
          <w:ilvl w:val="0"/>
          <w:numId w:val="38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懲處措施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：詳細列出可能的處罰範圍，從警告、調職、停職，到解雇或開除等。對於性騷擾、暴力等行為，可能會有更為嚴格的處罰。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4. 保護與支持措施</w:t>
      </w:r>
    </w:p>
    <w:p w:rsidR="009443BA" w:rsidRPr="00BD7BB4" w:rsidRDefault="009443BA" w:rsidP="009443BA">
      <w:pPr>
        <w:widowControl/>
        <w:numPr>
          <w:ilvl w:val="0"/>
          <w:numId w:val="39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受害者保護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：設有適當的隔離措施，防止受害者遭遇進一步的報復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或霸凌。</w:t>
      </w:r>
      <w:proofErr w:type="gramEnd"/>
    </w:p>
    <w:p w:rsidR="009443BA" w:rsidRPr="00BD7BB4" w:rsidRDefault="009443BA" w:rsidP="009443BA">
      <w:pPr>
        <w:widowControl/>
        <w:numPr>
          <w:ilvl w:val="0"/>
          <w:numId w:val="39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心理輔導與法律支援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：提供受害者心理健康支持，並可安排法律援助來幫助受害者維護自身的合法權益。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5. 監督與回顧</w:t>
      </w:r>
    </w:p>
    <w:p w:rsidR="009443BA" w:rsidRPr="00BD7BB4" w:rsidRDefault="009443BA" w:rsidP="009443BA">
      <w:pPr>
        <w:widowControl/>
        <w:numPr>
          <w:ilvl w:val="0"/>
          <w:numId w:val="40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lastRenderedPageBreak/>
        <w:t>結果反饋與透明性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：在案件處理後，應提供案件結果的回饋，並依情況進行改進和預防措施的更新。</w:t>
      </w:r>
    </w:p>
    <w:p w:rsidR="009443BA" w:rsidRPr="00BD7BB4" w:rsidRDefault="009443BA" w:rsidP="009443BA">
      <w:pPr>
        <w:widowControl/>
        <w:numPr>
          <w:ilvl w:val="0"/>
          <w:numId w:val="40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長期監控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：對於解決後的情況進行長期的跟蹤監控，防止事件的再發。</w:t>
      </w:r>
    </w:p>
    <w:p w:rsidR="009443BA" w:rsidRPr="00BB7BB1" w:rsidRDefault="009443BA" w:rsidP="00BB7BB1">
      <w:pPr>
        <w:widowControl/>
        <w:jc w:val="center"/>
        <w:rPr>
          <w:rFonts w:ascii="標楷體" w:eastAsia="標楷體" w:hAnsi="標楷體" w:cs="新細明體"/>
          <w:kern w:val="0"/>
          <w:sz w:val="48"/>
          <w:szCs w:val="48"/>
        </w:rPr>
      </w:pPr>
      <w:r w:rsidRPr="00BB7BB1">
        <w:rPr>
          <w:rFonts w:ascii="標楷體" w:eastAsia="標楷體" w:hAnsi="標楷體" w:cs="新細明體"/>
          <w:kern w:val="0"/>
          <w:sz w:val="48"/>
          <w:szCs w:val="48"/>
        </w:rPr>
        <w:t>聯絡(承辦)窗口： 1.姓名 2.單位</w:t>
      </w:r>
    </w:p>
    <w:p w:rsidR="009443BA" w:rsidRPr="00BD7BB4" w:rsidRDefault="009443BA" w:rsidP="009443BA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kern w:val="0"/>
          <w:sz w:val="40"/>
          <w:szCs w:val="40"/>
        </w:rPr>
        <w:t>通常在職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場霸凌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防治相關規定中，會設有專門的聯絡窗口以便處理通報、申訴和其他相關事宜。這些聯絡窗口負責接受受害者的報告，提供支持，並協助處理案件。以下是設置聯絡（承辦）窗口時常見的資訊：</w:t>
      </w:r>
    </w:p>
    <w:p w:rsidR="009443BA" w:rsidRPr="00BD7BB4" w:rsidRDefault="009443BA" w:rsidP="009443BA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聯絡（承辦）窗口設置範例：</w:t>
      </w:r>
    </w:p>
    <w:p w:rsidR="009443BA" w:rsidRPr="00BD7BB4" w:rsidRDefault="009443BA" w:rsidP="009443BA">
      <w:pPr>
        <w:widowControl/>
        <w:numPr>
          <w:ilvl w:val="0"/>
          <w:numId w:val="4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姓名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</w:t>
      </w:r>
    </w:p>
    <w:p w:rsidR="009443BA" w:rsidRPr="00BD7BB4" w:rsidRDefault="009443BA" w:rsidP="009443BA">
      <w:pPr>
        <w:widowControl/>
        <w:numPr>
          <w:ilvl w:val="1"/>
          <w:numId w:val="4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kern w:val="0"/>
          <w:sz w:val="40"/>
          <w:szCs w:val="40"/>
        </w:rPr>
        <w:t>通常會指定一名專責的負責人來處理職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場霸凌或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不法侵害的相關事宜。這個人通常來自人力資源部門、法務部門、學生事務部門或心理輔導部門等。</w:t>
      </w:r>
    </w:p>
    <w:p w:rsidR="009443BA" w:rsidRPr="00BD7BB4" w:rsidRDefault="009443BA" w:rsidP="009443BA">
      <w:pPr>
        <w:widowControl/>
        <w:numPr>
          <w:ilvl w:val="1"/>
          <w:numId w:val="4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kern w:val="0"/>
          <w:sz w:val="40"/>
          <w:szCs w:val="40"/>
        </w:rPr>
        <w:t>例如：「張三」或「李四」</w:t>
      </w:r>
    </w:p>
    <w:p w:rsidR="009443BA" w:rsidRPr="00BD7BB4" w:rsidRDefault="009443BA" w:rsidP="009443BA">
      <w:pPr>
        <w:widowControl/>
        <w:numPr>
          <w:ilvl w:val="0"/>
          <w:numId w:val="4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單位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t>：</w:t>
      </w:r>
    </w:p>
    <w:p w:rsidR="009443BA" w:rsidRPr="00BD7BB4" w:rsidRDefault="009443BA" w:rsidP="009443BA">
      <w:pPr>
        <w:widowControl/>
        <w:numPr>
          <w:ilvl w:val="1"/>
          <w:numId w:val="4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kern w:val="0"/>
          <w:sz w:val="40"/>
          <w:szCs w:val="40"/>
        </w:rPr>
        <w:t>負責處理相關案件的單位。這個單位通常會設有專門的部門或小組來</w:t>
      </w:r>
      <w:bookmarkStart w:id="0" w:name="_GoBack"/>
      <w:bookmarkEnd w:id="0"/>
      <w:r w:rsidRPr="00BD7BB4">
        <w:rPr>
          <w:rFonts w:ascii="標楷體" w:eastAsia="標楷體" w:hAnsi="標楷體" w:cs="新細明體"/>
          <w:kern w:val="0"/>
          <w:sz w:val="40"/>
          <w:szCs w:val="40"/>
        </w:rPr>
        <w:t>負責調查和處理職</w:t>
      </w:r>
      <w:proofErr w:type="gramStart"/>
      <w:r w:rsidRPr="00BD7BB4">
        <w:rPr>
          <w:rFonts w:ascii="標楷體" w:eastAsia="標楷體" w:hAnsi="標楷體" w:cs="新細明體"/>
          <w:kern w:val="0"/>
          <w:sz w:val="40"/>
          <w:szCs w:val="40"/>
        </w:rPr>
        <w:t>場霸凌</w:t>
      </w:r>
      <w:proofErr w:type="gramEnd"/>
      <w:r w:rsidRPr="00BD7BB4">
        <w:rPr>
          <w:rFonts w:ascii="標楷體" w:eastAsia="標楷體" w:hAnsi="標楷體" w:cs="新細明體"/>
          <w:kern w:val="0"/>
          <w:sz w:val="40"/>
          <w:szCs w:val="40"/>
        </w:rPr>
        <w:t>案件，</w:t>
      </w:r>
      <w:r w:rsidRPr="00BD7BB4">
        <w:rPr>
          <w:rFonts w:ascii="標楷體" w:eastAsia="標楷體" w:hAnsi="標楷體" w:cs="新細明體"/>
          <w:kern w:val="0"/>
          <w:sz w:val="40"/>
          <w:szCs w:val="40"/>
        </w:rPr>
        <w:lastRenderedPageBreak/>
        <w:t>並且會有專門的協助通報、提供資源與支援的角色。</w:t>
      </w:r>
    </w:p>
    <w:p w:rsidR="009443BA" w:rsidRPr="00BD7BB4" w:rsidRDefault="009443BA" w:rsidP="009443BA">
      <w:pPr>
        <w:widowControl/>
        <w:numPr>
          <w:ilvl w:val="1"/>
          <w:numId w:val="4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40"/>
          <w:szCs w:val="40"/>
        </w:rPr>
      </w:pPr>
      <w:r w:rsidRPr="00BD7BB4">
        <w:rPr>
          <w:rFonts w:ascii="標楷體" w:eastAsia="標楷體" w:hAnsi="標楷體" w:cs="新細明體"/>
          <w:kern w:val="0"/>
          <w:sz w:val="40"/>
          <w:szCs w:val="40"/>
        </w:rPr>
        <w:t>例如：「人力資源部」、「學生事務處」、「法務部」、「心理輔導中心」</w:t>
      </w:r>
    </w:p>
    <w:sectPr w:rsidR="009443BA" w:rsidRPr="00BD7BB4" w:rsidSect="00BD7BB4">
      <w:pgSz w:w="11906" w:h="16838"/>
      <w:pgMar w:top="794" w:right="624" w:bottom="79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65D0"/>
    <w:multiLevelType w:val="multilevel"/>
    <w:tmpl w:val="5FD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64EE5"/>
    <w:multiLevelType w:val="multilevel"/>
    <w:tmpl w:val="BED8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D2A93"/>
    <w:multiLevelType w:val="multilevel"/>
    <w:tmpl w:val="2CA0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204C1"/>
    <w:multiLevelType w:val="multilevel"/>
    <w:tmpl w:val="3ECE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16133"/>
    <w:multiLevelType w:val="multilevel"/>
    <w:tmpl w:val="55C8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355D2A"/>
    <w:multiLevelType w:val="multilevel"/>
    <w:tmpl w:val="D280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97FB5"/>
    <w:multiLevelType w:val="multilevel"/>
    <w:tmpl w:val="31A2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54E1B"/>
    <w:multiLevelType w:val="multilevel"/>
    <w:tmpl w:val="36001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E5AE0"/>
    <w:multiLevelType w:val="multilevel"/>
    <w:tmpl w:val="FDFA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447E02"/>
    <w:multiLevelType w:val="multilevel"/>
    <w:tmpl w:val="D9E2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F70286"/>
    <w:multiLevelType w:val="multilevel"/>
    <w:tmpl w:val="1170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D60723"/>
    <w:multiLevelType w:val="multilevel"/>
    <w:tmpl w:val="F378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5E26BB"/>
    <w:multiLevelType w:val="multilevel"/>
    <w:tmpl w:val="1DEE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914F28"/>
    <w:multiLevelType w:val="multilevel"/>
    <w:tmpl w:val="E1E0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00693A"/>
    <w:multiLevelType w:val="multilevel"/>
    <w:tmpl w:val="4530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F26901"/>
    <w:multiLevelType w:val="multilevel"/>
    <w:tmpl w:val="41EA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1830F5"/>
    <w:multiLevelType w:val="multilevel"/>
    <w:tmpl w:val="E2A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9446C2"/>
    <w:multiLevelType w:val="multilevel"/>
    <w:tmpl w:val="A778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A42E77"/>
    <w:multiLevelType w:val="multilevel"/>
    <w:tmpl w:val="8CA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2E112C"/>
    <w:multiLevelType w:val="multilevel"/>
    <w:tmpl w:val="02F6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A846F0"/>
    <w:multiLevelType w:val="multilevel"/>
    <w:tmpl w:val="3B50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812440"/>
    <w:multiLevelType w:val="multilevel"/>
    <w:tmpl w:val="D3DC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056636"/>
    <w:multiLevelType w:val="multilevel"/>
    <w:tmpl w:val="0676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9C2691"/>
    <w:multiLevelType w:val="multilevel"/>
    <w:tmpl w:val="90FED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2018C"/>
    <w:multiLevelType w:val="multilevel"/>
    <w:tmpl w:val="F75C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A55051"/>
    <w:multiLevelType w:val="multilevel"/>
    <w:tmpl w:val="DECE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341DB8"/>
    <w:multiLevelType w:val="multilevel"/>
    <w:tmpl w:val="8B60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710ACF"/>
    <w:multiLevelType w:val="multilevel"/>
    <w:tmpl w:val="CD76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E93C2B"/>
    <w:multiLevelType w:val="multilevel"/>
    <w:tmpl w:val="21DA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7B3729"/>
    <w:multiLevelType w:val="multilevel"/>
    <w:tmpl w:val="E256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39271D"/>
    <w:multiLevelType w:val="multilevel"/>
    <w:tmpl w:val="86B8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F3234E"/>
    <w:multiLevelType w:val="multilevel"/>
    <w:tmpl w:val="2EDE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F92D5F"/>
    <w:multiLevelType w:val="multilevel"/>
    <w:tmpl w:val="C2C2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A6001C"/>
    <w:multiLevelType w:val="multilevel"/>
    <w:tmpl w:val="DB20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E91EA1"/>
    <w:multiLevelType w:val="multilevel"/>
    <w:tmpl w:val="5DD8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7B0EF9"/>
    <w:multiLevelType w:val="multilevel"/>
    <w:tmpl w:val="20A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BE51B1"/>
    <w:multiLevelType w:val="multilevel"/>
    <w:tmpl w:val="562A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F47CBF"/>
    <w:multiLevelType w:val="multilevel"/>
    <w:tmpl w:val="1ACA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EA3F63"/>
    <w:multiLevelType w:val="multilevel"/>
    <w:tmpl w:val="05C4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9A1950"/>
    <w:multiLevelType w:val="multilevel"/>
    <w:tmpl w:val="B0D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1B22AA"/>
    <w:multiLevelType w:val="multilevel"/>
    <w:tmpl w:val="FB84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646E8A"/>
    <w:multiLevelType w:val="multilevel"/>
    <w:tmpl w:val="FFC8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2"/>
  </w:num>
  <w:num w:numId="3">
    <w:abstractNumId w:val="37"/>
  </w:num>
  <w:num w:numId="4">
    <w:abstractNumId w:val="4"/>
  </w:num>
  <w:num w:numId="5">
    <w:abstractNumId w:val="29"/>
  </w:num>
  <w:num w:numId="6">
    <w:abstractNumId w:val="11"/>
  </w:num>
  <w:num w:numId="7">
    <w:abstractNumId w:val="17"/>
  </w:num>
  <w:num w:numId="8">
    <w:abstractNumId w:val="15"/>
  </w:num>
  <w:num w:numId="9">
    <w:abstractNumId w:val="38"/>
  </w:num>
  <w:num w:numId="10">
    <w:abstractNumId w:val="22"/>
  </w:num>
  <w:num w:numId="11">
    <w:abstractNumId w:val="20"/>
  </w:num>
  <w:num w:numId="12">
    <w:abstractNumId w:val="10"/>
  </w:num>
  <w:num w:numId="13">
    <w:abstractNumId w:val="9"/>
  </w:num>
  <w:num w:numId="14">
    <w:abstractNumId w:val="12"/>
  </w:num>
  <w:num w:numId="15">
    <w:abstractNumId w:val="5"/>
  </w:num>
  <w:num w:numId="16">
    <w:abstractNumId w:val="33"/>
  </w:num>
  <w:num w:numId="17">
    <w:abstractNumId w:val="3"/>
  </w:num>
  <w:num w:numId="18">
    <w:abstractNumId w:val="24"/>
  </w:num>
  <w:num w:numId="19">
    <w:abstractNumId w:val="40"/>
  </w:num>
  <w:num w:numId="20">
    <w:abstractNumId w:val="1"/>
  </w:num>
  <w:num w:numId="21">
    <w:abstractNumId w:val="0"/>
  </w:num>
  <w:num w:numId="22">
    <w:abstractNumId w:val="27"/>
  </w:num>
  <w:num w:numId="23">
    <w:abstractNumId w:val="16"/>
  </w:num>
  <w:num w:numId="24">
    <w:abstractNumId w:val="14"/>
  </w:num>
  <w:num w:numId="25">
    <w:abstractNumId w:val="21"/>
  </w:num>
  <w:num w:numId="26">
    <w:abstractNumId w:val="18"/>
  </w:num>
  <w:num w:numId="27">
    <w:abstractNumId w:val="30"/>
  </w:num>
  <w:num w:numId="28">
    <w:abstractNumId w:val="36"/>
  </w:num>
  <w:num w:numId="29">
    <w:abstractNumId w:val="28"/>
  </w:num>
  <w:num w:numId="30">
    <w:abstractNumId w:val="2"/>
  </w:num>
  <w:num w:numId="31">
    <w:abstractNumId w:val="35"/>
  </w:num>
  <w:num w:numId="32">
    <w:abstractNumId w:val="25"/>
  </w:num>
  <w:num w:numId="33">
    <w:abstractNumId w:val="41"/>
  </w:num>
  <w:num w:numId="34">
    <w:abstractNumId w:val="6"/>
  </w:num>
  <w:num w:numId="35">
    <w:abstractNumId w:val="13"/>
  </w:num>
  <w:num w:numId="36">
    <w:abstractNumId w:val="34"/>
  </w:num>
  <w:num w:numId="37">
    <w:abstractNumId w:val="31"/>
  </w:num>
  <w:num w:numId="38">
    <w:abstractNumId w:val="19"/>
  </w:num>
  <w:num w:numId="39">
    <w:abstractNumId w:val="8"/>
  </w:num>
  <w:num w:numId="40">
    <w:abstractNumId w:val="39"/>
  </w:num>
  <w:num w:numId="41">
    <w:abstractNumId w:val="26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C4"/>
    <w:rsid w:val="00116EC4"/>
    <w:rsid w:val="00376E96"/>
    <w:rsid w:val="005C7006"/>
    <w:rsid w:val="009443BA"/>
    <w:rsid w:val="00BB7BB1"/>
    <w:rsid w:val="00BD7BB4"/>
    <w:rsid w:val="00BF4C7D"/>
    <w:rsid w:val="00C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CBE87"/>
  <w15:chartTrackingRefBased/>
  <w15:docId w15:val="{7CD811B4-27A8-42B3-97FD-469F7247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46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8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01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7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9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1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9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3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0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5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7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1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28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35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4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8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0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0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23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1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76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3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4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8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0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1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9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5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45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0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0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2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26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35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58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73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27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6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8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1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1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66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0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4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9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38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1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06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9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3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1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13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4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4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5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1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1070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2025-03-17T01:36:00Z</dcterms:created>
  <dcterms:modified xsi:type="dcterms:W3CDTF">2025-03-17T01:51:00Z</dcterms:modified>
</cp:coreProperties>
</file>